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F4F4" w14:textId="27436AD6" w:rsidR="00C90F95" w:rsidRDefault="00DF47B0">
      <w:r>
        <w:rPr>
          <w:rFonts w:ascii="PT Serif" w:hAnsi="PT Serif"/>
          <w:color w:val="464C55"/>
          <w:sz w:val="20"/>
          <w:szCs w:val="20"/>
          <w:shd w:val="clear" w:color="auto" w:fill="F0E9D3"/>
        </w:rPr>
        <w:t>Согласно </w:t>
      </w:r>
      <w:hyperlink r:id="rId4" w:anchor="/document/12154128/entry/11" w:history="1">
        <w:r>
          <w:rPr>
            <w:rStyle w:val="a3"/>
            <w:rFonts w:ascii="PT Serif" w:hAnsi="PT Serif"/>
            <w:color w:val="3272C0"/>
            <w:sz w:val="20"/>
            <w:szCs w:val="20"/>
            <w:shd w:val="clear" w:color="auto" w:fill="F0E9D3"/>
          </w:rPr>
          <w:t>Определению</w:t>
        </w:r>
      </w:hyperlink>
      <w:r>
        <w:rPr>
          <w:rFonts w:ascii="PT Serif" w:hAnsi="PT Serif"/>
          <w:color w:val="464C55"/>
          <w:sz w:val="20"/>
          <w:szCs w:val="20"/>
          <w:shd w:val="clear" w:color="auto" w:fill="F0E9D3"/>
        </w:rPr>
        <w:t> Конституционного Суда РФ от 1 марта 2007 г. N 326-О-П положения </w:t>
      </w:r>
      <w:hyperlink r:id="rId5" w:anchor="/document/10900200/entry/8" w:history="1">
        <w:r>
          <w:rPr>
            <w:rStyle w:val="a3"/>
            <w:rFonts w:ascii="PT Serif" w:hAnsi="PT Serif"/>
            <w:color w:val="3272C0"/>
            <w:sz w:val="20"/>
            <w:szCs w:val="20"/>
            <w:shd w:val="clear" w:color="auto" w:fill="F0E9D3"/>
          </w:rPr>
          <w:t>статей 8</w:t>
        </w:r>
      </w:hyperlink>
      <w:r>
        <w:rPr>
          <w:rFonts w:ascii="PT Serif" w:hAnsi="PT Serif"/>
          <w:color w:val="464C55"/>
          <w:sz w:val="20"/>
          <w:szCs w:val="20"/>
          <w:shd w:val="clear" w:color="auto" w:fill="F0E9D3"/>
        </w:rPr>
        <w:t> и </w:t>
      </w:r>
      <w:hyperlink r:id="rId6" w:anchor="/document/10900200/entry/33316" w:history="1">
        <w:r>
          <w:rPr>
            <w:rStyle w:val="a3"/>
            <w:rFonts w:ascii="PT Serif" w:hAnsi="PT Serif"/>
            <w:color w:val="3272C0"/>
            <w:sz w:val="20"/>
            <w:szCs w:val="20"/>
            <w:shd w:val="clear" w:color="auto" w:fill="F0E9D3"/>
          </w:rPr>
          <w:t>333.16</w:t>
        </w:r>
      </w:hyperlink>
      <w:r>
        <w:rPr>
          <w:rFonts w:ascii="PT Serif" w:hAnsi="PT Serif"/>
          <w:color w:val="464C55"/>
          <w:sz w:val="20"/>
          <w:szCs w:val="20"/>
          <w:shd w:val="clear" w:color="auto" w:fill="F0E9D3"/>
        </w:rPr>
        <w:t> и </w:t>
      </w:r>
      <w:hyperlink r:id="rId7" w:anchor="/document/10900200/entry/333033136" w:history="1">
        <w:r>
          <w:rPr>
            <w:rStyle w:val="a3"/>
            <w:rFonts w:ascii="PT Serif" w:hAnsi="PT Serif"/>
            <w:color w:val="3272C0"/>
            <w:sz w:val="20"/>
            <w:szCs w:val="20"/>
            <w:shd w:val="clear" w:color="auto" w:fill="F0E9D3"/>
          </w:rPr>
          <w:t>подпункта 36 пункта 1 статьи 333.33</w:t>
        </w:r>
      </w:hyperlink>
      <w:r>
        <w:rPr>
          <w:rFonts w:ascii="PT Serif" w:hAnsi="PT Serif"/>
          <w:color w:val="464C55"/>
          <w:sz w:val="20"/>
          <w:szCs w:val="20"/>
          <w:shd w:val="clear" w:color="auto" w:fill="F0E9D3"/>
        </w:rPr>
        <w:t> настоящего Кодекса в системе действующего правового регулирования означают, что государственная пошлина является единственным и достаточным платежом за совершение государственным органом юридически значимых действий, к каковым приравнена выдача документов, включая водительские удостоверения</w:t>
      </w:r>
    </w:p>
    <w:sectPr w:rsidR="00C9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89"/>
    <w:rsid w:val="00C90F95"/>
    <w:rsid w:val="00DF47B0"/>
    <w:rsid w:val="00D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B23F-C231-4EF2-A0CC-9E667B43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2022-06-14T11:30:00Z</dcterms:created>
  <dcterms:modified xsi:type="dcterms:W3CDTF">2022-06-14T11:30:00Z</dcterms:modified>
</cp:coreProperties>
</file>